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47" w:rsidRPr="00381249" w:rsidRDefault="00381249" w:rsidP="00381249">
      <w:pPr>
        <w:jc w:val="center"/>
        <w:rPr>
          <w:rFonts w:ascii="Verdana" w:hAnsi="Verdana"/>
          <w:b/>
        </w:rPr>
      </w:pPr>
      <w:r w:rsidRPr="00381249">
        <w:rPr>
          <w:rFonts w:ascii="Verdana" w:hAnsi="Verdana"/>
          <w:b/>
        </w:rPr>
        <w:t xml:space="preserve">RESOLUCIÓN NO </w:t>
      </w:r>
      <w:bookmarkStart w:id="0" w:name="_GoBack"/>
      <w:bookmarkEnd w:id="0"/>
    </w:p>
    <w:p w:rsidR="00CC5CE9" w:rsidRPr="0050152B" w:rsidRDefault="00CC5CE9" w:rsidP="0050152B">
      <w:pPr>
        <w:jc w:val="both"/>
        <w:rPr>
          <w:rFonts w:ascii="Verdana" w:hAnsi="Verdana"/>
        </w:rPr>
      </w:pPr>
    </w:p>
    <w:p w:rsidR="00CC5CE9" w:rsidRPr="00A33052" w:rsidRDefault="00CC5CE9" w:rsidP="0050152B">
      <w:pPr>
        <w:jc w:val="both"/>
        <w:rPr>
          <w:rFonts w:ascii="Verdana" w:hAnsi="Verdana"/>
          <w:b/>
        </w:rPr>
      </w:pPr>
      <w:r w:rsidRPr="00A33052">
        <w:rPr>
          <w:rFonts w:ascii="Verdana" w:hAnsi="Verdana"/>
          <w:b/>
        </w:rPr>
        <w:t xml:space="preserve">POR MEDIO DE LA CUAL SE ADOPTA EL PLAN DE BIENESTAR SOCIAL, ESTIMULOS E INCENTIVOS DEL INSTITUTO MUNICIPAL DEL DEPORTE Y </w:t>
      </w:r>
      <w:r w:rsidR="00A508AC" w:rsidRPr="00A33052">
        <w:rPr>
          <w:rFonts w:ascii="Verdana" w:hAnsi="Verdana"/>
          <w:b/>
        </w:rPr>
        <w:t>LA RECREACION</w:t>
      </w:r>
      <w:r w:rsidRPr="00A33052">
        <w:rPr>
          <w:rFonts w:ascii="Verdana" w:hAnsi="Verdana"/>
          <w:b/>
        </w:rPr>
        <w:t xml:space="preserve"> DE YUMBO IMDERTY </w:t>
      </w:r>
      <w:r w:rsidR="00A508AC">
        <w:rPr>
          <w:rFonts w:ascii="Verdana" w:hAnsi="Verdana"/>
          <w:b/>
        </w:rPr>
        <w:t>PARA LA VIGENCIA FISCAL AÑO 2015</w:t>
      </w:r>
      <w:r w:rsidRPr="00A33052">
        <w:rPr>
          <w:rFonts w:ascii="Verdana" w:hAnsi="Verdana"/>
          <w:b/>
        </w:rPr>
        <w:t>.</w:t>
      </w:r>
    </w:p>
    <w:p w:rsidR="00CC5CE9" w:rsidRPr="00A33052" w:rsidRDefault="00CC5CE9" w:rsidP="0050152B">
      <w:pPr>
        <w:jc w:val="both"/>
        <w:rPr>
          <w:rFonts w:ascii="Verdana" w:hAnsi="Verdana"/>
          <w:b/>
        </w:rPr>
      </w:pPr>
    </w:p>
    <w:p w:rsidR="0050152B" w:rsidRPr="00A33052" w:rsidRDefault="00CC5CE9" w:rsidP="0050152B">
      <w:pPr>
        <w:jc w:val="both"/>
        <w:rPr>
          <w:rFonts w:ascii="Verdana" w:hAnsi="Verdana" w:cs="Arial"/>
          <w:b/>
        </w:rPr>
      </w:pPr>
      <w:r w:rsidRPr="00A33052">
        <w:rPr>
          <w:rFonts w:ascii="Verdana" w:hAnsi="Verdana"/>
          <w:b/>
        </w:rPr>
        <w:t xml:space="preserve">EL GERENTE DEL INSTITUTO MUNICIPAL DEL DEPORTE Y LA  RECREACION DE YUMBO IMDERTY, EN USO DE SUS ATRIBUCIONES CONSTITUCIONALES Y LEGALES EN ESPECIAL LAS CONFERIDAS </w:t>
      </w:r>
      <w:r w:rsidR="0050152B" w:rsidRPr="00A33052">
        <w:rPr>
          <w:rFonts w:ascii="Verdana" w:hAnsi="Verdana" w:cs="Arial"/>
          <w:b/>
        </w:rPr>
        <w:t xml:space="preserve"> EN EL ACUERDO NRO. 0003 DEL 16 DE ENERO DE </w:t>
      </w:r>
      <w:r w:rsidR="0050152B" w:rsidRPr="00381249">
        <w:rPr>
          <w:rFonts w:ascii="Verdana" w:hAnsi="Verdana" w:cs="Arial"/>
          <w:b/>
        </w:rPr>
        <w:t>19</w:t>
      </w:r>
      <w:r w:rsidR="00381249" w:rsidRPr="00381249">
        <w:rPr>
          <w:rFonts w:ascii="Verdana" w:hAnsi="Verdana" w:cs="Arial"/>
          <w:b/>
        </w:rPr>
        <w:t>9</w:t>
      </w:r>
      <w:r w:rsidR="00381249">
        <w:rPr>
          <w:rFonts w:ascii="Verdana" w:hAnsi="Verdana" w:cs="Arial"/>
          <w:b/>
        </w:rPr>
        <w:t>6</w:t>
      </w:r>
      <w:r w:rsidR="0050152B" w:rsidRPr="00A33052">
        <w:rPr>
          <w:rFonts w:ascii="Verdana" w:hAnsi="Verdana" w:cs="Arial"/>
          <w:b/>
        </w:rPr>
        <w:t xml:space="preserve"> Y EN EL DECRETO EXTRAORDINARIO 002 DE 1998.</w:t>
      </w:r>
    </w:p>
    <w:p w:rsidR="00CC5CE9" w:rsidRPr="00A33052" w:rsidRDefault="0050152B" w:rsidP="0050152B">
      <w:pPr>
        <w:jc w:val="center"/>
        <w:rPr>
          <w:rFonts w:ascii="Verdana" w:hAnsi="Verdana"/>
          <w:b/>
        </w:rPr>
      </w:pPr>
      <w:r w:rsidRPr="00A33052">
        <w:rPr>
          <w:rFonts w:ascii="Verdana" w:hAnsi="Verdana"/>
          <w:b/>
        </w:rPr>
        <w:t>CONSIDERANDO</w:t>
      </w:r>
    </w:p>
    <w:p w:rsidR="0050152B" w:rsidRDefault="0050152B" w:rsidP="0050152B">
      <w:pPr>
        <w:rPr>
          <w:rFonts w:ascii="Verdana" w:hAnsi="Verdana"/>
        </w:rPr>
      </w:pPr>
    </w:p>
    <w:p w:rsidR="0050152B" w:rsidRDefault="0050152B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>Que la Ley 909 del 23 del 23 de Septiembre del 2004 en el Título VI Capítulo I, Artículo 36, parágrafo establece: Con el propósito de elevar los niveles de eficiencia, satisfacción y  desarrollo de los empleados en el desarrollo de su labor y de contribuir al cumplimiento efectivo de los resultados institucionales, las entidades deberán implementar programas de bienestar e incentivos, de acuerdo con las normas vigentes y las que desarrolle la presente Ley.</w:t>
      </w:r>
    </w:p>
    <w:p w:rsidR="0050152B" w:rsidRDefault="0050152B" w:rsidP="0050152B">
      <w:pPr>
        <w:jc w:val="both"/>
        <w:rPr>
          <w:rFonts w:ascii="Verdana" w:hAnsi="Verdana"/>
        </w:rPr>
      </w:pPr>
    </w:p>
    <w:p w:rsidR="0050152B" w:rsidRDefault="0050152B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>Que el Decreto 1227 de 2005 reglamenta parcialmente la Ley 909 de 2004 y el Decreto 1567 de 1998.</w:t>
      </w:r>
    </w:p>
    <w:p w:rsidR="0050152B" w:rsidRDefault="0050152B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Que dentro de las obligaciones señaladas en el Decreto Ley 1567 de 1998, está la de organizar</w:t>
      </w:r>
      <w:r w:rsidR="00172C51">
        <w:rPr>
          <w:rFonts w:ascii="Verdana" w:hAnsi="Verdana"/>
        </w:rPr>
        <w:t xml:space="preserve"> anualmente los programas de Bienestar Social.</w:t>
      </w:r>
    </w:p>
    <w:p w:rsidR="00172C51" w:rsidRDefault="00172C51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>Que de acuerdo a lo establecido en el Art. 69 del Decreto 1227 de 2005, las entidades deberán organizar programas  de estímulos con el fin de motivar el desempeño eficaz y el compromiso de sus empleados.  Los estímulos se implementaran a través de programas de bienestar social.</w:t>
      </w:r>
    </w:p>
    <w:p w:rsidR="00456CB0" w:rsidRDefault="00456CB0" w:rsidP="0050152B">
      <w:pPr>
        <w:jc w:val="both"/>
        <w:rPr>
          <w:rFonts w:ascii="Verdana" w:hAnsi="Verdana"/>
        </w:rPr>
      </w:pPr>
    </w:p>
    <w:p w:rsidR="00172C51" w:rsidRDefault="00172C51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>Que el Artículo 70 del Decreto 1227 de 2005, establece que las entidades públicas, en coordinación con los organismos de seguridad y previsión social, podrán ofrecer a todos los empleados y sus familias los programas de protección y servicios sociales que se relacionan a continuación:  Deportivos, Recreativos y vacacionales; artísticos y culturales; capacitación informal en artes y artesanías y otras modalidades que conlleven la recreación y el bienestar del empleado y que puedan ser gestionadas en convenios con cajas de compensación u otros organismos que faciliten subsidios o ayudas económicas.</w:t>
      </w:r>
    </w:p>
    <w:p w:rsidR="000A200C" w:rsidRDefault="000A200C" w:rsidP="0050152B">
      <w:pPr>
        <w:jc w:val="both"/>
        <w:rPr>
          <w:rFonts w:ascii="Verdana" w:hAnsi="Verdana"/>
        </w:rPr>
      </w:pPr>
    </w:p>
    <w:p w:rsidR="000A200C" w:rsidRDefault="000A200C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el Articulo 74 </w:t>
      </w:r>
      <w:proofErr w:type="spellStart"/>
      <w:r>
        <w:rPr>
          <w:rFonts w:ascii="Verdana" w:hAnsi="Verdana"/>
        </w:rPr>
        <w:t>Ibidem</w:t>
      </w:r>
      <w:proofErr w:type="spellEnd"/>
      <w:r>
        <w:rPr>
          <w:rFonts w:ascii="Verdana" w:hAnsi="Verdana"/>
        </w:rPr>
        <w:t xml:space="preserve"> señala</w:t>
      </w:r>
      <w:r w:rsidR="000201E1">
        <w:rPr>
          <w:rFonts w:ascii="Verdana" w:hAnsi="Verdana"/>
        </w:rPr>
        <w:t>: Los</w:t>
      </w:r>
      <w:r>
        <w:rPr>
          <w:rFonts w:ascii="Verdana" w:hAnsi="Verdana"/>
        </w:rPr>
        <w:t xml:space="preserve"> programas de Bienestar responderán a estudios técnicos que permitan, a  partir de la identificación de necesidades y expectativas de </w:t>
      </w:r>
      <w:r w:rsidR="00D102E1">
        <w:rPr>
          <w:rFonts w:ascii="Verdana" w:hAnsi="Verdana"/>
        </w:rPr>
        <w:t>los empleados, determinar actividades y grupos de beneficiarios bajo criterios de equidad, eficiencia y mayor cubrimiento institucional.</w:t>
      </w:r>
    </w:p>
    <w:p w:rsidR="00D102E1" w:rsidRDefault="00D102E1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>Que los planes de bienestar deben organizarse como procesos permanentes orientados a crear, mantener y mejorar las condiciones que favorezcan el desarrollo integral del empleado, el mejoramiento de su nivel de vida y el de su familia; así mismo deben permitir elevar los niveles de satisfacción, eficiencia, efectividad e identificación del empleado con el servicio de la entidad en la cual labora.</w:t>
      </w:r>
    </w:p>
    <w:p w:rsidR="00B23B28" w:rsidRPr="00381249" w:rsidRDefault="00B23B28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Que en consonancia con todo lo anterior, la oficina de </w:t>
      </w:r>
      <w:r w:rsidR="000201E1">
        <w:rPr>
          <w:rFonts w:ascii="Verdana" w:hAnsi="Verdana"/>
        </w:rPr>
        <w:t xml:space="preserve">apoyo al recurso Humano </w:t>
      </w:r>
      <w:r>
        <w:rPr>
          <w:rFonts w:ascii="Verdana" w:hAnsi="Verdana"/>
        </w:rPr>
        <w:t>del Instituto Municipal del Deporte y la Recreación de Yumbo IMDERTY</w:t>
      </w:r>
      <w:r w:rsidR="004D5BAC">
        <w:rPr>
          <w:rFonts w:ascii="Verdana" w:hAnsi="Verdana"/>
        </w:rPr>
        <w:t xml:space="preserve"> con la participación de los empleados </w:t>
      </w:r>
      <w:r w:rsidR="00381249">
        <w:rPr>
          <w:rFonts w:ascii="Verdana" w:hAnsi="Verdana"/>
        </w:rPr>
        <w:t>qu</w:t>
      </w:r>
      <w:r w:rsidR="00327EB7">
        <w:rPr>
          <w:rFonts w:ascii="Verdana" w:hAnsi="Verdana"/>
        </w:rPr>
        <w:t>e</w:t>
      </w:r>
      <w:r w:rsidR="00381249">
        <w:rPr>
          <w:rFonts w:ascii="Verdana" w:hAnsi="Verdana"/>
        </w:rPr>
        <w:t xml:space="preserve"> hacen parte del comité de bienestar social del IMDERTY</w:t>
      </w:r>
      <w:r w:rsidR="004D5BAC" w:rsidRPr="00381249">
        <w:rPr>
          <w:rFonts w:ascii="Verdana" w:hAnsi="Verdana"/>
        </w:rPr>
        <w:t xml:space="preserve">, diseño para la vigencia del 2012, el Plan de Bienestar social, </w:t>
      </w:r>
      <w:r w:rsidR="000201E1" w:rsidRPr="00381249">
        <w:rPr>
          <w:rFonts w:ascii="Verdana" w:hAnsi="Verdana"/>
        </w:rPr>
        <w:t>Estímulos</w:t>
      </w:r>
      <w:r w:rsidR="004D5BAC" w:rsidRPr="00381249">
        <w:rPr>
          <w:rFonts w:ascii="Verdana" w:hAnsi="Verdana"/>
        </w:rPr>
        <w:t xml:space="preserve"> e Incentivos en la que también se incluyo la evaluación del clima laboral.</w:t>
      </w:r>
    </w:p>
    <w:p w:rsidR="00CB520D" w:rsidRDefault="004D5BAC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381249">
        <w:rPr>
          <w:rFonts w:ascii="Verdana" w:hAnsi="Verdana"/>
        </w:rPr>
        <w:t xml:space="preserve">el comité de bienestar social </w:t>
      </w:r>
      <w:r>
        <w:rPr>
          <w:rFonts w:ascii="Verdana" w:hAnsi="Verdana"/>
        </w:rPr>
        <w:t xml:space="preserve"> del Instituto Municipal del Deporte y la </w:t>
      </w:r>
      <w:r w:rsidR="00CB520D">
        <w:rPr>
          <w:rFonts w:ascii="Verdana" w:hAnsi="Verdana"/>
        </w:rPr>
        <w:t>Recreación</w:t>
      </w:r>
      <w:r>
        <w:rPr>
          <w:rFonts w:ascii="Verdana" w:hAnsi="Verdana"/>
        </w:rPr>
        <w:t xml:space="preserve"> de  Yumbo IMDERTY</w:t>
      </w:r>
      <w:r w:rsidR="00CB520D">
        <w:rPr>
          <w:rFonts w:ascii="Verdana" w:hAnsi="Verdana"/>
        </w:rPr>
        <w:t xml:space="preserve"> atendiendo su competencia en este asunto conforme lo señala el literal h del numeral 2 del Artículo 16 de la Ley 909 de 2004, participo de manera activa en la elaboración del Plan de Bienestar, Estímulos e Incentivos.</w:t>
      </w:r>
    </w:p>
    <w:p w:rsidR="00461E6E" w:rsidRDefault="00461E6E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es necesario adoptar el Plan de Bienestar Social, Estímulos e Incentivos como un instrumento de gestión del Instituto Municipal del Deporte y </w:t>
      </w:r>
      <w:r w:rsidR="00381249">
        <w:rPr>
          <w:rFonts w:ascii="Verdana" w:hAnsi="Verdana"/>
        </w:rPr>
        <w:t>la Recreación de  Yumbo IMDERTY el cual busca la mejora continua de la calidad de vida de los empleados del IMDERTY.</w:t>
      </w:r>
    </w:p>
    <w:p w:rsidR="00461E6E" w:rsidRDefault="00461E6E" w:rsidP="00381249">
      <w:pPr>
        <w:jc w:val="both"/>
        <w:rPr>
          <w:rFonts w:ascii="Verdana" w:hAnsi="Verdana"/>
        </w:rPr>
      </w:pPr>
      <w:r>
        <w:rPr>
          <w:rFonts w:ascii="Verdana" w:hAnsi="Verdana"/>
        </w:rPr>
        <w:t>Que en merito de lo anteriormente expuesto,</w:t>
      </w:r>
    </w:p>
    <w:p w:rsidR="00461E6E" w:rsidRPr="00381249" w:rsidRDefault="00461E6E" w:rsidP="00381249">
      <w:pPr>
        <w:jc w:val="center"/>
        <w:rPr>
          <w:rFonts w:ascii="Verdana" w:hAnsi="Verdana"/>
          <w:b/>
        </w:rPr>
      </w:pPr>
      <w:r w:rsidRPr="00461E6E">
        <w:rPr>
          <w:rFonts w:ascii="Verdana" w:hAnsi="Verdana"/>
          <w:b/>
        </w:rPr>
        <w:t>RESUELVE</w:t>
      </w:r>
    </w:p>
    <w:p w:rsidR="00381249" w:rsidRDefault="00461E6E" w:rsidP="00461E6E">
      <w:pPr>
        <w:jc w:val="both"/>
        <w:rPr>
          <w:rFonts w:ascii="Verdana" w:hAnsi="Verdana"/>
        </w:rPr>
      </w:pPr>
      <w:r w:rsidRPr="00461E6E">
        <w:rPr>
          <w:rFonts w:ascii="Verdana" w:hAnsi="Verdana"/>
          <w:b/>
        </w:rPr>
        <w:t>Articulo 1º</w:t>
      </w:r>
      <w:r>
        <w:rPr>
          <w:rFonts w:ascii="Verdana" w:hAnsi="Verdana"/>
        </w:rPr>
        <w:t xml:space="preserve">. Adoptar en todas sus partes el Plan de Bienestar Social, Estímulos e Incentivos consignado en el </w:t>
      </w:r>
      <w:r w:rsidRPr="00381249">
        <w:rPr>
          <w:rFonts w:ascii="Verdana" w:hAnsi="Verdana"/>
        </w:rPr>
        <w:t>documento anexo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que hace parte integral del presente acto administrativo </w:t>
      </w:r>
      <w:r w:rsidR="00A508AC">
        <w:rPr>
          <w:rFonts w:ascii="Verdana" w:hAnsi="Verdana"/>
        </w:rPr>
        <w:t>para la vigencia fiscal año 2015</w:t>
      </w:r>
      <w:r>
        <w:rPr>
          <w:rFonts w:ascii="Verdana" w:hAnsi="Verdana"/>
        </w:rPr>
        <w:t xml:space="preserve"> del Instituto Municipal del Deporte y la Recreación de  Yumbo IMDERTY</w:t>
      </w:r>
    </w:p>
    <w:p w:rsidR="00A30ECD" w:rsidRDefault="00A30ECD" w:rsidP="00461E6E">
      <w:pPr>
        <w:jc w:val="both"/>
        <w:rPr>
          <w:rFonts w:ascii="Verdana" w:hAnsi="Verdana"/>
        </w:rPr>
      </w:pPr>
      <w:r w:rsidRPr="00A30ECD">
        <w:rPr>
          <w:rFonts w:ascii="Verdana" w:hAnsi="Verdana"/>
          <w:b/>
        </w:rPr>
        <w:t>Articulo 2º.</w:t>
      </w:r>
      <w:r>
        <w:rPr>
          <w:rFonts w:ascii="Verdana" w:hAnsi="Verdana"/>
        </w:rPr>
        <w:t xml:space="preserve"> El Plan de Bienestar Social, Estímulos e Incenti</w:t>
      </w:r>
      <w:r w:rsidR="00A508AC">
        <w:rPr>
          <w:rFonts w:ascii="Verdana" w:hAnsi="Verdana"/>
        </w:rPr>
        <w:t>vos para la vigencia fiscal 2015 que</w:t>
      </w:r>
      <w:r>
        <w:rPr>
          <w:rFonts w:ascii="Verdana" w:hAnsi="Verdana"/>
        </w:rPr>
        <w:t xml:space="preserve"> por este acto se adopta será difundido por la oficina de </w:t>
      </w:r>
      <w:r w:rsidR="00381249">
        <w:rPr>
          <w:rFonts w:ascii="Verdana" w:hAnsi="Verdana"/>
        </w:rPr>
        <w:t xml:space="preserve">APOYO AL </w:t>
      </w:r>
      <w:r w:rsidR="00A73E1B">
        <w:rPr>
          <w:rFonts w:ascii="Verdana" w:hAnsi="Verdana"/>
        </w:rPr>
        <w:t>TALENTO</w:t>
      </w:r>
      <w:r w:rsidR="00381249">
        <w:rPr>
          <w:rFonts w:ascii="Verdana" w:hAnsi="Verdana"/>
        </w:rPr>
        <w:t xml:space="preserve"> HUMANO del </w:t>
      </w:r>
      <w:r w:rsidR="00A73E1B">
        <w:rPr>
          <w:rFonts w:ascii="Verdana" w:hAnsi="Verdana"/>
        </w:rPr>
        <w:t>Imderty</w:t>
      </w:r>
      <w:r>
        <w:rPr>
          <w:rFonts w:ascii="Verdana" w:hAnsi="Verdana"/>
        </w:rPr>
        <w:t xml:space="preserve"> y por sus medio idóneos en toda la institución y especialmente a los empleados responsables de su desarrollo y aplicación.</w:t>
      </w:r>
    </w:p>
    <w:p w:rsidR="00A30ECD" w:rsidRPr="00456CB0" w:rsidRDefault="00456CB0" w:rsidP="00461E6E">
      <w:pPr>
        <w:jc w:val="both"/>
        <w:rPr>
          <w:rFonts w:ascii="Verdana" w:hAnsi="Verdana"/>
        </w:rPr>
      </w:pPr>
      <w:r w:rsidRPr="00456CB0">
        <w:rPr>
          <w:rFonts w:ascii="Verdana" w:hAnsi="Verdana"/>
          <w:b/>
        </w:rPr>
        <w:t>Articulo 3º.</w:t>
      </w:r>
      <w:r>
        <w:rPr>
          <w:rFonts w:ascii="Verdana" w:hAnsi="Verdana"/>
          <w:b/>
        </w:rPr>
        <w:t xml:space="preserve"> </w:t>
      </w:r>
      <w:r w:rsidRPr="00456CB0">
        <w:rPr>
          <w:rFonts w:ascii="Verdana" w:hAnsi="Verdana"/>
        </w:rPr>
        <w:t>Esta Resolución rige a partir de la fecha de su expedición.</w:t>
      </w:r>
    </w:p>
    <w:p w:rsidR="00172C51" w:rsidRDefault="00172C51" w:rsidP="0050152B">
      <w:pPr>
        <w:jc w:val="both"/>
        <w:rPr>
          <w:rFonts w:ascii="Verdana" w:hAnsi="Verdana"/>
        </w:rPr>
      </w:pPr>
    </w:p>
    <w:p w:rsidR="00456CB0" w:rsidRDefault="00456CB0" w:rsidP="00381249">
      <w:pPr>
        <w:jc w:val="center"/>
        <w:rPr>
          <w:rFonts w:ascii="Verdana" w:hAnsi="Verdana"/>
        </w:rPr>
      </w:pPr>
      <w:r>
        <w:rPr>
          <w:rFonts w:ascii="Verdana" w:hAnsi="Verdana"/>
        </w:rPr>
        <w:t>COMUNIQUESE, PUBLIQ</w:t>
      </w:r>
      <w:r w:rsidR="00A73E1B">
        <w:rPr>
          <w:rFonts w:ascii="Verdana" w:hAnsi="Verdana"/>
        </w:rPr>
        <w:t>U</w:t>
      </w:r>
      <w:r>
        <w:rPr>
          <w:rFonts w:ascii="Verdana" w:hAnsi="Verdana"/>
        </w:rPr>
        <w:t>ESE Y CUMPLASE</w:t>
      </w:r>
    </w:p>
    <w:p w:rsidR="00456CB0" w:rsidRDefault="00381249" w:rsidP="0050152B">
      <w:pPr>
        <w:jc w:val="both"/>
        <w:rPr>
          <w:rFonts w:ascii="Verdana" w:hAnsi="Verdana"/>
        </w:rPr>
      </w:pPr>
      <w:r>
        <w:rPr>
          <w:rFonts w:ascii="Verdana" w:hAnsi="Verdana"/>
        </w:rPr>
        <w:t>Dada en el Instituto Municipal del Deporte y la recreación de Yumbo</w:t>
      </w:r>
      <w:r w:rsidR="00456CB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 los -  .           </w:t>
      </w:r>
      <w:r w:rsidR="00A508AC">
        <w:rPr>
          <w:rFonts w:ascii="Verdana" w:hAnsi="Verdana"/>
        </w:rPr>
        <w:t xml:space="preserve">  Los del mes de            2015</w:t>
      </w:r>
    </w:p>
    <w:p w:rsidR="00456CB0" w:rsidRDefault="00456CB0" w:rsidP="0050152B">
      <w:pPr>
        <w:jc w:val="both"/>
        <w:rPr>
          <w:rFonts w:ascii="Verdana" w:hAnsi="Verdana"/>
        </w:rPr>
      </w:pPr>
    </w:p>
    <w:p w:rsidR="00456CB0" w:rsidRPr="00A508AC" w:rsidRDefault="00A508AC" w:rsidP="00456CB0">
      <w:pPr>
        <w:spacing w:after="0"/>
        <w:jc w:val="both"/>
        <w:rPr>
          <w:rFonts w:ascii="Verdana" w:hAnsi="Verdana"/>
          <w:b/>
        </w:rPr>
      </w:pPr>
      <w:r w:rsidRPr="00A508AC">
        <w:rPr>
          <w:rFonts w:ascii="Verdana" w:hAnsi="Verdana"/>
          <w:b/>
        </w:rPr>
        <w:t>ADELAIDA MARIA SATIZABAL VACA</w:t>
      </w:r>
    </w:p>
    <w:p w:rsidR="00456CB0" w:rsidRDefault="00456CB0" w:rsidP="0038124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Gerente</w:t>
      </w:r>
    </w:p>
    <w:p w:rsidR="00381249" w:rsidRDefault="00381249" w:rsidP="00381249">
      <w:pPr>
        <w:spacing w:after="0"/>
        <w:jc w:val="both"/>
        <w:rPr>
          <w:rFonts w:ascii="Verdana" w:hAnsi="Verdana"/>
        </w:rPr>
      </w:pPr>
    </w:p>
    <w:p w:rsidR="0050152B" w:rsidRPr="00456CB0" w:rsidRDefault="00381249" w:rsidP="00381249">
      <w:pPr>
        <w:spacing w:after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Reviso:</w:t>
      </w:r>
      <w:r w:rsidR="00456CB0" w:rsidRPr="00456CB0">
        <w:rPr>
          <w:rFonts w:ascii="Verdana" w:hAnsi="Verdana"/>
          <w:sz w:val="18"/>
        </w:rPr>
        <w:t xml:space="preserve"> Control Interno</w:t>
      </w:r>
    </w:p>
    <w:p w:rsidR="0050152B" w:rsidRPr="00A73E1B" w:rsidRDefault="0050152B" w:rsidP="0050152B">
      <w:pPr>
        <w:jc w:val="both"/>
        <w:rPr>
          <w:rFonts w:ascii="Verdana" w:hAnsi="Verdana"/>
          <w:sz w:val="16"/>
        </w:rPr>
      </w:pPr>
    </w:p>
    <w:sectPr w:rsidR="0050152B" w:rsidRPr="00A73E1B" w:rsidSect="00381249">
      <w:headerReference w:type="default" r:id="rId8"/>
      <w:pgSz w:w="12240" w:h="15840" w:code="1"/>
      <w:pgMar w:top="2835" w:right="1701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64" w:rsidRDefault="00935464" w:rsidP="00361CB1">
      <w:pPr>
        <w:spacing w:after="0" w:line="240" w:lineRule="auto"/>
      </w:pPr>
      <w:r>
        <w:separator/>
      </w:r>
    </w:p>
  </w:endnote>
  <w:endnote w:type="continuationSeparator" w:id="0">
    <w:p w:rsidR="00935464" w:rsidRDefault="00935464" w:rsidP="0036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64" w:rsidRDefault="00935464" w:rsidP="00361CB1">
      <w:pPr>
        <w:spacing w:after="0" w:line="240" w:lineRule="auto"/>
      </w:pPr>
      <w:r>
        <w:separator/>
      </w:r>
    </w:p>
  </w:footnote>
  <w:footnote w:type="continuationSeparator" w:id="0">
    <w:p w:rsidR="00935464" w:rsidRDefault="00935464" w:rsidP="0036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2" w:type="dxa"/>
      <w:jc w:val="center"/>
      <w:tblInd w:w="3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55"/>
      <w:gridCol w:w="3686"/>
      <w:gridCol w:w="3571"/>
    </w:tblGrid>
    <w:tr w:rsidR="00361CB1" w:rsidRPr="00142D90" w:rsidTr="0037471C">
      <w:trPr>
        <w:cantSplit/>
        <w:trHeight w:val="344"/>
        <w:jc w:val="center"/>
      </w:trPr>
      <w:tc>
        <w:tcPr>
          <w:tcW w:w="2955" w:type="dxa"/>
          <w:vMerge w:val="restart"/>
          <w:vAlign w:val="center"/>
        </w:tcPr>
        <w:p w:rsidR="00361CB1" w:rsidRPr="00142D90" w:rsidRDefault="00361CB1" w:rsidP="0037471C">
          <w:pPr>
            <w:rPr>
              <w:rFonts w:ascii="Arial" w:hAnsi="Arial" w:cs="Arial"/>
            </w:rPr>
          </w:pPr>
        </w:p>
        <w:p w:rsidR="00361CB1" w:rsidRPr="00142D90" w:rsidRDefault="00361CB1" w:rsidP="0037471C">
          <w:pPr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20BCF08" wp14:editId="2A125002">
                <wp:simplePos x="0" y="0"/>
                <wp:positionH relativeFrom="column">
                  <wp:posOffset>-5080</wp:posOffset>
                </wp:positionH>
                <wp:positionV relativeFrom="paragraph">
                  <wp:posOffset>83820</wp:posOffset>
                </wp:positionV>
                <wp:extent cx="1440815" cy="789940"/>
                <wp:effectExtent l="0" t="0" r="698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66" r="176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61CB1" w:rsidRPr="00142D90" w:rsidRDefault="00361CB1" w:rsidP="0037471C">
          <w:pPr>
            <w:rPr>
              <w:rFonts w:ascii="Arial" w:hAnsi="Arial" w:cs="Arial"/>
            </w:rPr>
          </w:pPr>
        </w:p>
        <w:p w:rsidR="00361CB1" w:rsidRPr="00142D90" w:rsidRDefault="00361CB1" w:rsidP="0037471C">
          <w:pPr>
            <w:rPr>
              <w:rFonts w:ascii="Arial" w:hAnsi="Arial" w:cs="Arial"/>
            </w:rPr>
          </w:pPr>
        </w:p>
        <w:p w:rsidR="00361CB1" w:rsidRPr="00142D90" w:rsidRDefault="00361CB1" w:rsidP="0037471C">
          <w:pPr>
            <w:rPr>
              <w:rFonts w:ascii="Arial" w:hAnsi="Arial" w:cs="Arial"/>
              <w:sz w:val="12"/>
              <w:szCs w:val="12"/>
            </w:rPr>
          </w:pPr>
        </w:p>
        <w:p w:rsidR="00361CB1" w:rsidRDefault="00361CB1" w:rsidP="0037471C">
          <w:pPr>
            <w:jc w:val="center"/>
            <w:rPr>
              <w:rFonts w:ascii="Arial" w:hAnsi="Arial" w:cs="Arial"/>
              <w:sz w:val="16"/>
            </w:rPr>
          </w:pPr>
        </w:p>
        <w:p w:rsidR="00361CB1" w:rsidRPr="00142D90" w:rsidRDefault="00361CB1" w:rsidP="0037471C">
          <w:pPr>
            <w:jc w:val="center"/>
            <w:rPr>
              <w:rFonts w:ascii="Arial" w:hAnsi="Arial" w:cs="Arial"/>
            </w:rPr>
          </w:pPr>
        </w:p>
      </w:tc>
      <w:tc>
        <w:tcPr>
          <w:tcW w:w="3686" w:type="dxa"/>
          <w:vMerge w:val="restart"/>
          <w:vAlign w:val="center"/>
        </w:tcPr>
        <w:p w:rsidR="00361CB1" w:rsidRDefault="00361CB1" w:rsidP="0037471C">
          <w:pPr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RESOLUCIONES</w:t>
          </w:r>
        </w:p>
        <w:p w:rsidR="00361CB1" w:rsidRPr="00142D90" w:rsidRDefault="00361CB1" w:rsidP="003C4B76">
          <w:pPr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FO-</w:t>
          </w:r>
          <w:r w:rsidR="003C4B76">
            <w:rPr>
              <w:rFonts w:ascii="Arial" w:hAnsi="Arial" w:cs="Arial"/>
              <w:sz w:val="28"/>
            </w:rPr>
            <w:t>GJ</w:t>
          </w:r>
          <w:r>
            <w:rPr>
              <w:rFonts w:ascii="Arial" w:hAnsi="Arial" w:cs="Arial"/>
              <w:sz w:val="28"/>
            </w:rPr>
            <w:t>-07</w:t>
          </w:r>
        </w:p>
      </w:tc>
      <w:tc>
        <w:tcPr>
          <w:tcW w:w="3571" w:type="dxa"/>
          <w:vAlign w:val="center"/>
        </w:tcPr>
        <w:p w:rsidR="00361CB1" w:rsidRDefault="00361CB1" w:rsidP="0037471C">
          <w:pPr>
            <w:jc w:val="center"/>
            <w:rPr>
              <w:rFonts w:ascii="Arial" w:hAnsi="Arial" w:cs="Arial"/>
              <w:b/>
            </w:rPr>
          </w:pPr>
        </w:p>
        <w:p w:rsidR="00361CB1" w:rsidRPr="00E1566B" w:rsidRDefault="00361CB1" w:rsidP="0037471C">
          <w:pPr>
            <w:jc w:val="center"/>
            <w:rPr>
              <w:rFonts w:ascii="Arial" w:hAnsi="Arial" w:cs="Arial"/>
            </w:rPr>
          </w:pPr>
          <w:r w:rsidRPr="00E1566B">
            <w:rPr>
              <w:rFonts w:ascii="Arial" w:hAnsi="Arial" w:cs="Arial"/>
            </w:rPr>
            <w:t>VERSION: 1</w:t>
          </w:r>
        </w:p>
      </w:tc>
    </w:tr>
    <w:tr w:rsidR="00361CB1" w:rsidRPr="00142D90" w:rsidTr="0037471C">
      <w:trPr>
        <w:cantSplit/>
        <w:trHeight w:val="261"/>
        <w:jc w:val="center"/>
      </w:trPr>
      <w:tc>
        <w:tcPr>
          <w:tcW w:w="2955" w:type="dxa"/>
          <w:vMerge/>
        </w:tcPr>
        <w:p w:rsidR="00361CB1" w:rsidRPr="00142D90" w:rsidRDefault="00361CB1" w:rsidP="0037471C">
          <w:pPr>
            <w:tabs>
              <w:tab w:val="center" w:pos="4252"/>
              <w:tab w:val="right" w:pos="8504"/>
            </w:tabs>
          </w:pPr>
        </w:p>
      </w:tc>
      <w:tc>
        <w:tcPr>
          <w:tcW w:w="3686" w:type="dxa"/>
          <w:vMerge/>
          <w:vAlign w:val="center"/>
        </w:tcPr>
        <w:p w:rsidR="00361CB1" w:rsidRPr="00142D90" w:rsidRDefault="00361CB1" w:rsidP="0037471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  <w:tc>
        <w:tcPr>
          <w:tcW w:w="3571" w:type="dxa"/>
          <w:vAlign w:val="center"/>
        </w:tcPr>
        <w:p w:rsidR="00361CB1" w:rsidRDefault="00361CB1" w:rsidP="0037471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</w:p>
        <w:p w:rsidR="00361CB1" w:rsidRPr="00142D90" w:rsidRDefault="00361CB1" w:rsidP="0037471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E1566B">
            <w:rPr>
              <w:rFonts w:ascii="Arial" w:hAnsi="Arial" w:cs="Arial"/>
              <w:sz w:val="20"/>
            </w:rPr>
            <w:t>FECHA: NOVIEMBRE 26 DE 2015</w:t>
          </w:r>
        </w:p>
      </w:tc>
    </w:tr>
    <w:tr w:rsidR="00361CB1" w:rsidRPr="00142D90" w:rsidTr="0037471C">
      <w:trPr>
        <w:cantSplit/>
        <w:trHeight w:val="628"/>
        <w:jc w:val="center"/>
      </w:trPr>
      <w:tc>
        <w:tcPr>
          <w:tcW w:w="2955" w:type="dxa"/>
          <w:vMerge/>
        </w:tcPr>
        <w:p w:rsidR="00361CB1" w:rsidRPr="00142D90" w:rsidRDefault="00361CB1" w:rsidP="0037471C">
          <w:pPr>
            <w:tabs>
              <w:tab w:val="center" w:pos="4252"/>
              <w:tab w:val="right" w:pos="8504"/>
            </w:tabs>
          </w:pPr>
        </w:p>
      </w:tc>
      <w:tc>
        <w:tcPr>
          <w:tcW w:w="3686" w:type="dxa"/>
          <w:vMerge/>
          <w:vAlign w:val="center"/>
        </w:tcPr>
        <w:p w:rsidR="00361CB1" w:rsidRPr="00142D90" w:rsidRDefault="00361CB1" w:rsidP="0037471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</w:p>
      </w:tc>
      <w:tc>
        <w:tcPr>
          <w:tcW w:w="3571" w:type="dxa"/>
          <w:vAlign w:val="center"/>
        </w:tcPr>
        <w:p w:rsidR="00361CB1" w:rsidRPr="00142D90" w:rsidRDefault="00361CB1" w:rsidP="0037471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142D90">
            <w:rPr>
              <w:rFonts w:ascii="Arial" w:hAnsi="Arial" w:cs="Arial"/>
            </w:rPr>
            <w:t xml:space="preserve">Página </w:t>
          </w:r>
          <w:r w:rsidRPr="00142D90">
            <w:rPr>
              <w:rFonts w:ascii="Arial" w:hAnsi="Arial" w:cs="Arial"/>
              <w:b/>
            </w:rPr>
            <w:fldChar w:fldCharType="begin"/>
          </w:r>
          <w:r w:rsidRPr="00142D90">
            <w:rPr>
              <w:rFonts w:ascii="Arial" w:hAnsi="Arial" w:cs="Arial"/>
              <w:b/>
            </w:rPr>
            <w:instrText>PAGE  \* Arabic  \* MERGEFORMAT</w:instrText>
          </w:r>
          <w:r w:rsidRPr="00142D90">
            <w:rPr>
              <w:rFonts w:ascii="Arial" w:hAnsi="Arial" w:cs="Arial"/>
              <w:b/>
            </w:rPr>
            <w:fldChar w:fldCharType="separate"/>
          </w:r>
          <w:r w:rsidR="003C4B76">
            <w:rPr>
              <w:rFonts w:ascii="Arial" w:hAnsi="Arial" w:cs="Arial"/>
              <w:b/>
              <w:noProof/>
            </w:rPr>
            <w:t>1</w:t>
          </w:r>
          <w:r w:rsidRPr="00142D90">
            <w:rPr>
              <w:rFonts w:ascii="Arial" w:hAnsi="Arial" w:cs="Arial"/>
              <w:b/>
            </w:rPr>
            <w:fldChar w:fldCharType="end"/>
          </w:r>
          <w:r w:rsidRPr="00142D90">
            <w:rPr>
              <w:rFonts w:ascii="Arial" w:hAnsi="Arial" w:cs="Arial"/>
            </w:rPr>
            <w:t xml:space="preserve"> de </w:t>
          </w:r>
          <w:r w:rsidRPr="00142D90">
            <w:rPr>
              <w:rFonts w:ascii="Arial" w:hAnsi="Arial" w:cs="Arial"/>
              <w:b/>
            </w:rPr>
            <w:fldChar w:fldCharType="begin"/>
          </w:r>
          <w:r w:rsidRPr="00142D90">
            <w:rPr>
              <w:rFonts w:ascii="Arial" w:hAnsi="Arial" w:cs="Arial"/>
              <w:b/>
            </w:rPr>
            <w:instrText>NUMPAGES  \* Arabic  \* MERGEFORMAT</w:instrText>
          </w:r>
          <w:r w:rsidRPr="00142D90">
            <w:rPr>
              <w:rFonts w:ascii="Arial" w:hAnsi="Arial" w:cs="Arial"/>
              <w:b/>
            </w:rPr>
            <w:fldChar w:fldCharType="separate"/>
          </w:r>
          <w:r w:rsidR="003C4B76">
            <w:rPr>
              <w:rFonts w:ascii="Arial" w:hAnsi="Arial" w:cs="Arial"/>
              <w:b/>
              <w:noProof/>
            </w:rPr>
            <w:t>4</w:t>
          </w:r>
          <w:r w:rsidRPr="00142D90">
            <w:rPr>
              <w:rFonts w:ascii="Arial" w:hAnsi="Arial" w:cs="Arial"/>
              <w:b/>
            </w:rPr>
            <w:fldChar w:fldCharType="end"/>
          </w:r>
        </w:p>
      </w:tc>
    </w:tr>
  </w:tbl>
  <w:p w:rsidR="00361CB1" w:rsidRDefault="00361C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9"/>
    <w:rsid w:val="000201E1"/>
    <w:rsid w:val="00027D81"/>
    <w:rsid w:val="000A200C"/>
    <w:rsid w:val="000B46C1"/>
    <w:rsid w:val="000F5F83"/>
    <w:rsid w:val="001211C9"/>
    <w:rsid w:val="00172C51"/>
    <w:rsid w:val="00327EB7"/>
    <w:rsid w:val="00361CB1"/>
    <w:rsid w:val="00381249"/>
    <w:rsid w:val="003C4B76"/>
    <w:rsid w:val="00456CB0"/>
    <w:rsid w:val="00461E6E"/>
    <w:rsid w:val="00491F8E"/>
    <w:rsid w:val="004D5BAC"/>
    <w:rsid w:val="0050152B"/>
    <w:rsid w:val="00572AC3"/>
    <w:rsid w:val="00796737"/>
    <w:rsid w:val="007A2DD5"/>
    <w:rsid w:val="007B3D47"/>
    <w:rsid w:val="00935464"/>
    <w:rsid w:val="00A30ECD"/>
    <w:rsid w:val="00A33052"/>
    <w:rsid w:val="00A508AC"/>
    <w:rsid w:val="00A73E1B"/>
    <w:rsid w:val="00A9043A"/>
    <w:rsid w:val="00B23B28"/>
    <w:rsid w:val="00C03AEA"/>
    <w:rsid w:val="00C20C81"/>
    <w:rsid w:val="00CB520D"/>
    <w:rsid w:val="00CC5CE9"/>
    <w:rsid w:val="00D102E1"/>
    <w:rsid w:val="00D67A8B"/>
    <w:rsid w:val="00DA18E0"/>
    <w:rsid w:val="00EA3325"/>
    <w:rsid w:val="00F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CB1"/>
  </w:style>
  <w:style w:type="paragraph" w:styleId="Piedepgina">
    <w:name w:val="footer"/>
    <w:basedOn w:val="Normal"/>
    <w:link w:val="PiedepginaCar"/>
    <w:uiPriority w:val="99"/>
    <w:unhideWhenUsed/>
    <w:rsid w:val="0036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CB1"/>
  </w:style>
  <w:style w:type="paragraph" w:styleId="Piedepgina">
    <w:name w:val="footer"/>
    <w:basedOn w:val="Normal"/>
    <w:link w:val="PiedepginaCar"/>
    <w:uiPriority w:val="99"/>
    <w:unhideWhenUsed/>
    <w:rsid w:val="00361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44-37EB-4DE5-99B9-1B43978E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mera</dc:creator>
  <cp:lastModifiedBy>Luffi</cp:lastModifiedBy>
  <cp:revision>4</cp:revision>
  <cp:lastPrinted>2012-09-18T21:30:00Z</cp:lastPrinted>
  <dcterms:created xsi:type="dcterms:W3CDTF">2015-12-16T19:28:00Z</dcterms:created>
  <dcterms:modified xsi:type="dcterms:W3CDTF">2015-12-16T19:30:00Z</dcterms:modified>
</cp:coreProperties>
</file>